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12B931D3" w14:textId="438E1FEC" w:rsidR="00D842A8" w:rsidRPr="00F86BB3" w:rsidRDefault="00BB31A9" w:rsidP="00F86BB3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</w:t>
      </w:r>
      <w:r w:rsidR="00F86BB3" w:rsidRPr="00F86BB3">
        <w:rPr>
          <w:b/>
          <w:sz w:val="28"/>
          <w:szCs w:val="28"/>
        </w:rPr>
        <w:t>в Бюджетный кодекс РФ, необходимые для формирования проекта закона о федеральном бюджете на 2024 - 2026 годы и исполнения бюджетов в 2024 году</w:t>
      </w:r>
      <w:r w:rsidR="00585C2C" w:rsidRPr="00585C2C">
        <w:rPr>
          <w:b/>
          <w:sz w:val="28"/>
          <w:szCs w:val="28"/>
        </w:rPr>
        <w:t>»</w:t>
      </w:r>
      <w:r w:rsidR="00B95B43" w:rsidRPr="00B95B43">
        <w:rPr>
          <w:b/>
          <w:sz w:val="28"/>
          <w:szCs w:val="28"/>
        </w:rPr>
        <w:t>»</w:t>
      </w:r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3BF875FC" w14:textId="376E4758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Федеральным законом от 02.11.2023 № 520-ФЗ «О внесении изменений в ст.96.6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 уточняется конструкция «бюджетных правил» в части определения нефтегазовых доходов федерального бюджета с учетом цен на нефть, природный газ, цен экспортной альтернативы для автомобильного бензина АИ-92 класса 5 и дизельного топлива класса 5.</w:t>
      </w:r>
    </w:p>
    <w:p w14:paraId="52683733" w14:textId="41E65284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Установлено правило, предусматривающее возможность начисления дохода в размере до 3% годовых на остатки средств на счетах для отражения операций со средствами организаций - получателей бюджетных средств.</w:t>
      </w:r>
    </w:p>
    <w:p w14:paraId="4C06BA32" w14:textId="4C534F64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Установлены особенности исполнения федерального бюджета в 2024 году. Правительству Российской Федерации предоставлен ряд дополнительных правомочий, в том числе без внесения изменений в бюджетное законодательство увеличить общий объем расходов федерального бюджета, принимать решения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F86BB3">
        <w:rPr>
          <w:color w:val="000000"/>
          <w:sz w:val="28"/>
          <w:szCs w:val="30"/>
          <w:shd w:val="clear" w:color="auto" w:fill="FFFFFF"/>
        </w:rPr>
        <w:t>о предоставлении в 2024 году госгарантий, не предусмотренных законодательством, вносить изменения в распределение объемов межбюджетных трансфертов, предоставляемых на финансовое обеспечение мероприятий индивидуальных программ социально-экономического развития субъектов Российской Федерации.</w:t>
      </w:r>
    </w:p>
    <w:p w14:paraId="65855540" w14:textId="77777777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 перечень видов финансовых активов, в которые в 2024 году могут размещаться средства Фонда национального благосостояния.</w:t>
      </w:r>
    </w:p>
    <w:p w14:paraId="57822D1F" w14:textId="77777777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Отдельные уточнения касаются казначейского сопровождения операций с бюджетными средствами.</w:t>
      </w:r>
    </w:p>
    <w:p w14:paraId="1F4A837E" w14:textId="6E0FFF77" w:rsidR="00B95B4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BB3">
        <w:rPr>
          <w:color w:val="000000"/>
          <w:sz w:val="28"/>
          <w:szCs w:val="30"/>
          <w:shd w:val="clear" w:color="auto" w:fill="FFFFFF"/>
        </w:rPr>
        <w:t>На 2026 год сохранен действующий норматив распределения акцизов на ГСМ: в федеральный бюджет 25,1%, в бюджеты субъектов РФ 74,9%</w:t>
      </w:r>
    </w:p>
    <w:p w14:paraId="28F866F5" w14:textId="77777777" w:rsidR="00585C2C" w:rsidRPr="00295155" w:rsidRDefault="00585C2C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EA29AC" w14:textId="77777777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5A33A228" w14:textId="36C1BFDC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18A7544A" w:rsidR="00E945DE" w:rsidRPr="008D15F7" w:rsidRDefault="00F86BB3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96FC2">
        <w:rPr>
          <w:sz w:val="28"/>
          <w:szCs w:val="28"/>
        </w:rPr>
        <w:t>8</w:t>
      </w:r>
      <w:r w:rsidR="002141F3">
        <w:rPr>
          <w:sz w:val="28"/>
          <w:szCs w:val="28"/>
        </w:rPr>
        <w:t>.</w:t>
      </w:r>
      <w:r w:rsidR="00796FC2">
        <w:rPr>
          <w:sz w:val="28"/>
          <w:szCs w:val="28"/>
        </w:rPr>
        <w:t>1</w:t>
      </w:r>
      <w:r>
        <w:rPr>
          <w:sz w:val="28"/>
          <w:szCs w:val="28"/>
        </w:rPr>
        <w:t>2</w:t>
      </w:r>
      <w:bookmarkStart w:id="0" w:name="_GoBack"/>
      <w:bookmarkEnd w:id="0"/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2023-10-18T09:54:00Z</cp:lastPrinted>
  <dcterms:created xsi:type="dcterms:W3CDTF">2023-12-28T03:49:00Z</dcterms:created>
  <dcterms:modified xsi:type="dcterms:W3CDTF">2023-12-28T03:49:00Z</dcterms:modified>
</cp:coreProperties>
</file>